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EE" w:rsidRDefault="00DE34EE" w:rsidP="00005484">
      <w:pPr>
        <w:pStyle w:val="a4"/>
        <w:rPr>
          <w:szCs w:val="24"/>
        </w:rPr>
      </w:pPr>
    </w:p>
    <w:p w:rsidR="00005484" w:rsidRPr="00DE34EE" w:rsidRDefault="00005484" w:rsidP="00005484">
      <w:pPr>
        <w:pStyle w:val="a4"/>
        <w:rPr>
          <w:szCs w:val="24"/>
        </w:rPr>
      </w:pPr>
      <w:r w:rsidRPr="00DE34EE">
        <w:rPr>
          <w:szCs w:val="24"/>
        </w:rPr>
        <w:t>РОССИЙСКАЯ ФЕДЕРАЦИЯ</w:t>
      </w:r>
    </w:p>
    <w:p w:rsidR="00005484" w:rsidRPr="00DE34EE" w:rsidRDefault="00005484" w:rsidP="00005484">
      <w:pPr>
        <w:pStyle w:val="a4"/>
        <w:rPr>
          <w:szCs w:val="24"/>
        </w:rPr>
      </w:pPr>
      <w:r w:rsidRPr="00DE34EE">
        <w:rPr>
          <w:szCs w:val="24"/>
        </w:rPr>
        <w:t>БРЯНСКАЯ ОБЛАСТЬ</w:t>
      </w:r>
      <w:r w:rsidR="006D7CF3" w:rsidRPr="00DE34EE">
        <w:rPr>
          <w:szCs w:val="24"/>
        </w:rPr>
        <w:t xml:space="preserve">  ПОЧЕПСКИЙ РАЙОН</w:t>
      </w:r>
    </w:p>
    <w:p w:rsidR="00005484" w:rsidRPr="00DE34EE" w:rsidRDefault="003E2B6F" w:rsidP="00005484">
      <w:pPr>
        <w:pStyle w:val="a4"/>
        <w:rPr>
          <w:szCs w:val="24"/>
        </w:rPr>
      </w:pPr>
      <w:r>
        <w:rPr>
          <w:szCs w:val="24"/>
        </w:rPr>
        <w:t>МОСКОВСКАЯ СЕЛЬСКАЯ АДМИНИСТРАЦИЯ</w:t>
      </w:r>
    </w:p>
    <w:p w:rsidR="00005484" w:rsidRPr="00DE34EE" w:rsidRDefault="00005484" w:rsidP="00005484">
      <w:pPr>
        <w:pStyle w:val="a4"/>
        <w:rPr>
          <w:szCs w:val="24"/>
        </w:rPr>
      </w:pPr>
    </w:p>
    <w:p w:rsidR="00005484" w:rsidRPr="00DE34EE" w:rsidRDefault="00DB6482" w:rsidP="00DE34EE">
      <w:pPr>
        <w:pStyle w:val="a4"/>
        <w:rPr>
          <w:szCs w:val="24"/>
        </w:rPr>
      </w:pPr>
      <w:r>
        <w:rPr>
          <w:szCs w:val="24"/>
        </w:rPr>
        <w:t>ПОСТАНОВЛЕНИЕ</w:t>
      </w:r>
    </w:p>
    <w:p w:rsidR="00261E78" w:rsidRPr="00DE34EE" w:rsidRDefault="006D7CF3" w:rsidP="00261E7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E34EE">
        <w:rPr>
          <w:rFonts w:ascii="Times New Roman" w:hAnsi="Times New Roman"/>
          <w:sz w:val="24"/>
          <w:szCs w:val="24"/>
        </w:rPr>
        <w:t>О</w:t>
      </w:r>
      <w:r w:rsidR="00261E78" w:rsidRPr="00DE34EE">
        <w:rPr>
          <w:rFonts w:ascii="Times New Roman" w:hAnsi="Times New Roman"/>
          <w:sz w:val="24"/>
          <w:szCs w:val="24"/>
        </w:rPr>
        <w:t>т</w:t>
      </w:r>
      <w:r w:rsidR="003E2B6F">
        <w:rPr>
          <w:rFonts w:ascii="Times New Roman" w:hAnsi="Times New Roman"/>
          <w:sz w:val="24"/>
          <w:szCs w:val="24"/>
        </w:rPr>
        <w:t xml:space="preserve"> 19</w:t>
      </w:r>
      <w:r w:rsidRPr="00DE34EE">
        <w:rPr>
          <w:rFonts w:ascii="Times New Roman" w:hAnsi="Times New Roman"/>
          <w:sz w:val="24"/>
          <w:szCs w:val="24"/>
        </w:rPr>
        <w:t xml:space="preserve">.11.2020 года </w:t>
      </w:r>
      <w:r w:rsidR="00261E78" w:rsidRPr="00DE34EE">
        <w:rPr>
          <w:rFonts w:ascii="Times New Roman" w:hAnsi="Times New Roman"/>
          <w:sz w:val="24"/>
          <w:szCs w:val="24"/>
        </w:rPr>
        <w:t xml:space="preserve"> № </w:t>
      </w:r>
      <w:r w:rsidRPr="00DE34EE">
        <w:rPr>
          <w:rFonts w:ascii="Times New Roman" w:hAnsi="Times New Roman"/>
          <w:sz w:val="24"/>
          <w:szCs w:val="24"/>
        </w:rPr>
        <w:t xml:space="preserve"> </w:t>
      </w:r>
      <w:r w:rsidR="003E2B6F">
        <w:rPr>
          <w:rFonts w:ascii="Times New Roman" w:hAnsi="Times New Roman"/>
          <w:sz w:val="24"/>
          <w:szCs w:val="24"/>
        </w:rPr>
        <w:t>34</w:t>
      </w:r>
    </w:p>
    <w:p w:rsidR="00261E78" w:rsidRPr="00DE34EE" w:rsidRDefault="006D7CF3" w:rsidP="00261E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34EE">
        <w:rPr>
          <w:rFonts w:ascii="Times New Roman" w:hAnsi="Times New Roman"/>
          <w:sz w:val="24"/>
          <w:szCs w:val="24"/>
        </w:rPr>
        <w:t>П.Московский</w:t>
      </w:r>
    </w:p>
    <w:p w:rsidR="00261E78" w:rsidRPr="00DE34EE" w:rsidRDefault="00261E78" w:rsidP="00261E7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048"/>
      </w:tblGrid>
      <w:tr w:rsidR="00261E78" w:rsidRPr="00DE34EE" w:rsidTr="00182027">
        <w:tc>
          <w:tcPr>
            <w:tcW w:w="6048" w:type="dxa"/>
          </w:tcPr>
          <w:p w:rsidR="00261E78" w:rsidRPr="00DE34EE" w:rsidRDefault="00261E78" w:rsidP="001820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4EE">
              <w:rPr>
                <w:rFonts w:ascii="Times New Roman" w:hAnsi="Times New Roman"/>
                <w:sz w:val="24"/>
                <w:szCs w:val="24"/>
              </w:rPr>
              <w:t>Об утверждении порядка формирования, ве</w:t>
            </w:r>
            <w:r w:rsidR="00D2133A" w:rsidRPr="00DE34EE">
              <w:rPr>
                <w:rFonts w:ascii="Times New Roman" w:hAnsi="Times New Roman"/>
                <w:sz w:val="24"/>
                <w:szCs w:val="24"/>
              </w:rPr>
              <w:t>дения, дополнения и</w:t>
            </w:r>
            <w:r w:rsidRPr="00DE34EE">
              <w:rPr>
                <w:rFonts w:ascii="Times New Roman" w:hAnsi="Times New Roman"/>
                <w:sz w:val="24"/>
                <w:szCs w:val="24"/>
              </w:rPr>
              <w:t xml:space="preserve"> опубликования перечня имущества муниципальной собственности </w:t>
            </w:r>
            <w:r w:rsidR="006D7CF3" w:rsidRPr="00DE34EE">
              <w:rPr>
                <w:rFonts w:ascii="Times New Roman" w:hAnsi="Times New Roman"/>
                <w:sz w:val="24"/>
                <w:szCs w:val="24"/>
              </w:rPr>
              <w:t xml:space="preserve">Московского сельского поселения </w:t>
            </w:r>
            <w:r w:rsidRPr="00DE34EE">
              <w:rPr>
                <w:rFonts w:ascii="Times New Roman" w:hAnsi="Times New Roman"/>
                <w:sz w:val="24"/>
                <w:szCs w:val="24"/>
              </w:rPr>
              <w:t>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      </w:r>
            <w:r w:rsidR="00377B29" w:rsidRPr="00DE34EE">
              <w:rPr>
                <w:rFonts w:ascii="Times New Roman" w:hAnsi="Times New Roman"/>
                <w:sz w:val="24"/>
                <w:szCs w:val="24"/>
              </w:rPr>
              <w:t>, фи</w:t>
            </w:r>
            <w:r w:rsidR="003327B6" w:rsidRPr="00DE34EE">
              <w:rPr>
                <w:rFonts w:ascii="Times New Roman" w:hAnsi="Times New Roman"/>
                <w:sz w:val="24"/>
                <w:szCs w:val="24"/>
              </w:rPr>
              <w:t>зическим лицам,       которые не являются</w:t>
            </w:r>
            <w:r w:rsidR="006D7CF3" w:rsidRPr="00DE3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B29" w:rsidRPr="00DE34EE">
              <w:rPr>
                <w:rFonts w:ascii="Times New Roman" w:hAnsi="Times New Roman"/>
                <w:sz w:val="24"/>
                <w:szCs w:val="24"/>
              </w:rPr>
              <w:t>индивидуальными предпринимателями и применя</w:t>
            </w:r>
            <w:r w:rsidR="003327B6" w:rsidRPr="00DE34EE">
              <w:rPr>
                <w:rFonts w:ascii="Times New Roman" w:hAnsi="Times New Roman"/>
                <w:sz w:val="24"/>
                <w:szCs w:val="24"/>
              </w:rPr>
              <w:t>ют</w:t>
            </w:r>
            <w:r w:rsidR="00EE15C2" w:rsidRPr="00DE34EE">
              <w:rPr>
                <w:rFonts w:ascii="Times New Roman" w:hAnsi="Times New Roman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8F7B37" w:rsidRPr="00DE34EE" w:rsidTr="00182027">
        <w:tc>
          <w:tcPr>
            <w:tcW w:w="6048" w:type="dxa"/>
          </w:tcPr>
          <w:p w:rsidR="008F7B37" w:rsidRPr="00DE34EE" w:rsidRDefault="008F7B37" w:rsidP="001820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E78" w:rsidRPr="00DE34EE" w:rsidRDefault="00261E78" w:rsidP="00261E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61E78" w:rsidRPr="00DE34EE" w:rsidRDefault="00261E78" w:rsidP="00DE34E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E34EE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7" w:history="1">
        <w:r w:rsidRPr="00DE34EE">
          <w:rPr>
            <w:rFonts w:ascii="Times New Roman" w:hAnsi="Times New Roman"/>
            <w:sz w:val="24"/>
            <w:szCs w:val="24"/>
          </w:rPr>
          <w:t>законом</w:t>
        </w:r>
      </w:hyperlink>
      <w:r w:rsidRPr="00DE34EE">
        <w:rPr>
          <w:rFonts w:ascii="Times New Roman" w:hAnsi="Times New Roman"/>
          <w:sz w:val="24"/>
          <w:szCs w:val="24"/>
        </w:rPr>
        <w:t xml:space="preserve"> от 24.07 2007 № 209-ФЗ «О развитии малого и среднего предпринимательства в Российской Федерации»,Федеральным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 Уставом муниципального образования «</w:t>
      </w:r>
      <w:r w:rsidR="006D7CF3" w:rsidRPr="00DE34EE">
        <w:rPr>
          <w:rFonts w:ascii="Times New Roman" w:hAnsi="Times New Roman"/>
          <w:sz w:val="24"/>
          <w:szCs w:val="24"/>
        </w:rPr>
        <w:t>Московское сельское поселение Почепского муниципального</w:t>
      </w:r>
      <w:r w:rsidRPr="00DE34EE">
        <w:rPr>
          <w:rFonts w:ascii="Times New Roman" w:hAnsi="Times New Roman"/>
          <w:sz w:val="24"/>
          <w:szCs w:val="24"/>
        </w:rPr>
        <w:t xml:space="preserve"> район</w:t>
      </w:r>
      <w:r w:rsidR="006D7CF3" w:rsidRPr="00DE34EE">
        <w:rPr>
          <w:rFonts w:ascii="Times New Roman" w:hAnsi="Times New Roman"/>
          <w:sz w:val="24"/>
          <w:szCs w:val="24"/>
        </w:rPr>
        <w:t>а</w:t>
      </w:r>
      <w:r w:rsidRPr="00DE34EE">
        <w:rPr>
          <w:rFonts w:ascii="Times New Roman" w:hAnsi="Times New Roman"/>
          <w:sz w:val="24"/>
          <w:szCs w:val="24"/>
        </w:rPr>
        <w:t xml:space="preserve"> Брянс</w:t>
      </w:r>
      <w:r w:rsidR="006D7CF3" w:rsidRPr="00DE34EE">
        <w:rPr>
          <w:rFonts w:ascii="Times New Roman" w:hAnsi="Times New Roman"/>
          <w:sz w:val="24"/>
          <w:szCs w:val="24"/>
        </w:rPr>
        <w:t xml:space="preserve">кой области», Московский сельский </w:t>
      </w:r>
      <w:r w:rsidRPr="00DE34EE">
        <w:rPr>
          <w:rFonts w:ascii="Times New Roman" w:hAnsi="Times New Roman"/>
          <w:sz w:val="24"/>
          <w:szCs w:val="24"/>
        </w:rPr>
        <w:t>Совет народных депутатов</w:t>
      </w:r>
    </w:p>
    <w:p w:rsidR="00261E78" w:rsidRPr="00DE34EE" w:rsidRDefault="00DB6482" w:rsidP="00261E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</w:t>
      </w:r>
      <w:r w:rsidR="00261E78" w:rsidRPr="00DE34EE">
        <w:rPr>
          <w:rFonts w:ascii="Times New Roman" w:hAnsi="Times New Roman"/>
          <w:sz w:val="24"/>
          <w:szCs w:val="24"/>
        </w:rPr>
        <w:t>:</w:t>
      </w:r>
    </w:p>
    <w:p w:rsidR="00261E78" w:rsidRPr="00DE34EE" w:rsidRDefault="00261E78" w:rsidP="00261E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E34EE">
        <w:rPr>
          <w:rFonts w:ascii="Times New Roman" w:hAnsi="Times New Roman"/>
          <w:sz w:val="24"/>
          <w:szCs w:val="24"/>
        </w:rPr>
        <w:t xml:space="preserve">1. Утвердить прилагаемый </w:t>
      </w:r>
      <w:hyperlink w:anchor="P36" w:history="1">
        <w:r w:rsidRPr="00DE34EE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Порядок</w:t>
        </w:r>
      </w:hyperlink>
      <w:r w:rsidRPr="00DE34EE">
        <w:rPr>
          <w:rFonts w:ascii="Times New Roman" w:hAnsi="Times New Roman"/>
          <w:sz w:val="24"/>
          <w:szCs w:val="24"/>
        </w:rPr>
        <w:t xml:space="preserve"> формирования, ведения,</w:t>
      </w:r>
      <w:r w:rsidR="00D2133A" w:rsidRPr="00DE34EE">
        <w:rPr>
          <w:rFonts w:ascii="Times New Roman" w:hAnsi="Times New Roman"/>
          <w:sz w:val="24"/>
          <w:szCs w:val="24"/>
        </w:rPr>
        <w:t xml:space="preserve"> дополнения и </w:t>
      </w:r>
      <w:r w:rsidRPr="00DE34EE">
        <w:rPr>
          <w:rFonts w:ascii="Times New Roman" w:hAnsi="Times New Roman"/>
          <w:sz w:val="24"/>
          <w:szCs w:val="24"/>
        </w:rPr>
        <w:t>опубликования перечня имущес</w:t>
      </w:r>
      <w:r w:rsidR="00E97104" w:rsidRPr="00DE34EE">
        <w:rPr>
          <w:rFonts w:ascii="Times New Roman" w:hAnsi="Times New Roman"/>
          <w:sz w:val="24"/>
          <w:szCs w:val="24"/>
        </w:rPr>
        <w:t>тва муниципальной собственности</w:t>
      </w:r>
      <w:r w:rsidR="00230E14">
        <w:rPr>
          <w:rFonts w:ascii="Times New Roman" w:hAnsi="Times New Roman"/>
          <w:sz w:val="24"/>
          <w:szCs w:val="24"/>
        </w:rPr>
        <w:t xml:space="preserve"> Московского сельского поселения</w:t>
      </w:r>
      <w:r w:rsidR="00E97104" w:rsidRPr="00DE34EE">
        <w:rPr>
          <w:rFonts w:ascii="Times New Roman" w:hAnsi="Times New Roman"/>
          <w:sz w:val="24"/>
          <w:szCs w:val="24"/>
        </w:rPr>
        <w:t xml:space="preserve"> </w:t>
      </w:r>
      <w:r w:rsidRPr="00DE34EE">
        <w:rPr>
          <w:rFonts w:ascii="Times New Roman" w:hAnsi="Times New Roman"/>
          <w:sz w:val="24"/>
          <w:szCs w:val="24"/>
        </w:rPr>
        <w:t>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r w:rsidR="00EE15C2" w:rsidRPr="00DE34EE">
        <w:rPr>
          <w:rFonts w:ascii="Times New Roman" w:hAnsi="Times New Roman"/>
          <w:sz w:val="24"/>
          <w:szCs w:val="24"/>
        </w:rPr>
        <w:t xml:space="preserve">а, физическим лицам, </w:t>
      </w:r>
      <w:r w:rsidR="003327B6" w:rsidRPr="00DE34EE">
        <w:rPr>
          <w:rFonts w:ascii="Times New Roman" w:hAnsi="Times New Roman"/>
          <w:sz w:val="24"/>
          <w:szCs w:val="24"/>
        </w:rPr>
        <w:t>которые не являются</w:t>
      </w:r>
      <w:r w:rsidR="00C40A3C" w:rsidRPr="00DE34EE">
        <w:rPr>
          <w:rFonts w:ascii="Times New Roman" w:hAnsi="Times New Roman"/>
          <w:sz w:val="24"/>
          <w:szCs w:val="24"/>
        </w:rPr>
        <w:t xml:space="preserve"> индивидуальными</w:t>
      </w:r>
      <w:r w:rsidR="003327B6" w:rsidRPr="00DE34EE">
        <w:rPr>
          <w:rFonts w:ascii="Times New Roman" w:hAnsi="Times New Roman"/>
          <w:sz w:val="24"/>
          <w:szCs w:val="24"/>
        </w:rPr>
        <w:t xml:space="preserve"> предпринимателями и применяют</w:t>
      </w:r>
      <w:r w:rsidR="00C40A3C" w:rsidRPr="00DE34EE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DE34EE">
        <w:rPr>
          <w:rFonts w:ascii="Times New Roman" w:hAnsi="Times New Roman"/>
          <w:sz w:val="24"/>
          <w:szCs w:val="24"/>
        </w:rPr>
        <w:t>.</w:t>
      </w:r>
    </w:p>
    <w:p w:rsidR="00261E78" w:rsidRPr="00DE34EE" w:rsidRDefault="00DB6482" w:rsidP="00261E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Постановление</w:t>
      </w:r>
      <w:r w:rsidR="00F36275">
        <w:rPr>
          <w:rFonts w:ascii="Times New Roman" w:hAnsi="Times New Roman"/>
          <w:sz w:val="24"/>
          <w:szCs w:val="24"/>
        </w:rPr>
        <w:t xml:space="preserve"> Московской сельской администрации</w:t>
      </w:r>
      <w:r w:rsidR="00C40B30">
        <w:rPr>
          <w:rFonts w:ascii="Times New Roman" w:hAnsi="Times New Roman"/>
          <w:sz w:val="24"/>
          <w:szCs w:val="24"/>
        </w:rPr>
        <w:t xml:space="preserve"> от 05.08</w:t>
      </w:r>
      <w:r w:rsidR="00F36275">
        <w:rPr>
          <w:rFonts w:ascii="Times New Roman" w:hAnsi="Times New Roman"/>
          <w:sz w:val="24"/>
          <w:szCs w:val="24"/>
        </w:rPr>
        <w:t>.2020 № 26</w:t>
      </w:r>
      <w:r w:rsidR="00261E78" w:rsidRPr="00DE34EE">
        <w:rPr>
          <w:rFonts w:ascii="Times New Roman" w:hAnsi="Times New Roman"/>
          <w:sz w:val="24"/>
          <w:szCs w:val="24"/>
        </w:rPr>
        <w:t xml:space="preserve"> «Об утверждении </w:t>
      </w:r>
      <w:hyperlink w:anchor="P36" w:history="1">
        <w:r w:rsidR="00261E78" w:rsidRPr="00DE34EE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порядк</w:t>
        </w:r>
      </w:hyperlink>
      <w:r w:rsidR="00261E78" w:rsidRPr="00DE34EE">
        <w:rPr>
          <w:rStyle w:val="a6"/>
          <w:rFonts w:ascii="Times New Roman" w:hAnsi="Times New Roman"/>
          <w:color w:val="000000"/>
          <w:sz w:val="24"/>
          <w:szCs w:val="24"/>
          <w:u w:val="none"/>
        </w:rPr>
        <w:t>а</w:t>
      </w:r>
      <w:r w:rsidR="00261E78" w:rsidRPr="00DE34EE">
        <w:rPr>
          <w:rFonts w:ascii="Times New Roman" w:hAnsi="Times New Roman"/>
          <w:sz w:val="24"/>
          <w:szCs w:val="24"/>
        </w:rPr>
        <w:t xml:space="preserve"> формирования, ведения,</w:t>
      </w:r>
      <w:r w:rsidR="00064223">
        <w:rPr>
          <w:rFonts w:ascii="Times New Roman" w:hAnsi="Times New Roman"/>
          <w:sz w:val="24"/>
          <w:szCs w:val="24"/>
        </w:rPr>
        <w:t xml:space="preserve"> </w:t>
      </w:r>
      <w:r w:rsidR="00261E78" w:rsidRPr="00DE34EE">
        <w:rPr>
          <w:rFonts w:ascii="Times New Roman" w:hAnsi="Times New Roman"/>
          <w:sz w:val="24"/>
          <w:szCs w:val="24"/>
        </w:rPr>
        <w:t>обязательного опубликования перечня</w:t>
      </w:r>
      <w:r w:rsidR="00064223">
        <w:rPr>
          <w:rFonts w:ascii="Times New Roman" w:hAnsi="Times New Roman"/>
          <w:sz w:val="24"/>
          <w:szCs w:val="24"/>
        </w:rPr>
        <w:t xml:space="preserve"> муниципального</w:t>
      </w:r>
      <w:r w:rsidR="00261E78" w:rsidRPr="00DE34EE">
        <w:rPr>
          <w:rFonts w:ascii="Times New Roman" w:hAnsi="Times New Roman"/>
          <w:sz w:val="24"/>
          <w:szCs w:val="24"/>
        </w:rPr>
        <w:t xml:space="preserve"> имуще</w:t>
      </w:r>
      <w:r w:rsidR="00064223">
        <w:rPr>
          <w:rFonts w:ascii="Times New Roman" w:hAnsi="Times New Roman"/>
          <w:sz w:val="24"/>
          <w:szCs w:val="24"/>
        </w:rPr>
        <w:t>ства Московского сельского поселения Почепского</w:t>
      </w:r>
      <w:r w:rsidR="00261E78" w:rsidRPr="00DE34EE">
        <w:rPr>
          <w:rFonts w:ascii="Times New Roman" w:hAnsi="Times New Roman"/>
          <w:sz w:val="24"/>
          <w:szCs w:val="24"/>
        </w:rPr>
        <w:t xml:space="preserve"> района</w:t>
      </w:r>
      <w:r w:rsidR="00064223">
        <w:rPr>
          <w:rFonts w:ascii="Times New Roman" w:hAnsi="Times New Roman"/>
          <w:sz w:val="24"/>
          <w:szCs w:val="24"/>
        </w:rPr>
        <w:t xml:space="preserve"> Брянской области</w:t>
      </w:r>
      <w:r w:rsidR="00261E78" w:rsidRPr="00DE34EE">
        <w:rPr>
          <w:rFonts w:ascii="Times New Roman" w:hAnsi="Times New Roman"/>
          <w:sz w:val="24"/>
          <w:szCs w:val="24"/>
        </w:rPr>
        <w:t>,</w:t>
      </w:r>
      <w:r w:rsidR="00E97104" w:rsidRPr="00DE34EE">
        <w:rPr>
          <w:rFonts w:ascii="Times New Roman" w:hAnsi="Times New Roman"/>
          <w:sz w:val="24"/>
          <w:szCs w:val="24"/>
        </w:rPr>
        <w:t xml:space="preserve"> свободного от прав третьих лиц (за исключением имущественных прав субъектов малого и среднего предпринимательства),</w:t>
      </w:r>
      <w:r w:rsidR="00261E78" w:rsidRPr="00DE34EE">
        <w:rPr>
          <w:rFonts w:ascii="Times New Roman" w:hAnsi="Times New Roman"/>
          <w:sz w:val="24"/>
          <w:szCs w:val="24"/>
        </w:rPr>
        <w:t xml:space="preserve"> предназначенного для предоставления во владение и (или)</w:t>
      </w:r>
      <w:r w:rsidR="001726E5">
        <w:rPr>
          <w:rFonts w:ascii="Times New Roman" w:hAnsi="Times New Roman"/>
          <w:sz w:val="24"/>
          <w:szCs w:val="24"/>
        </w:rPr>
        <w:t xml:space="preserve"> в </w:t>
      </w:r>
      <w:r w:rsidR="00261E78" w:rsidRPr="00DE34EE">
        <w:rPr>
          <w:rFonts w:ascii="Times New Roman" w:hAnsi="Times New Roman"/>
          <w:sz w:val="24"/>
          <w:szCs w:val="24"/>
        </w:rPr>
        <w:t xml:space="preserve">пользование </w:t>
      </w:r>
      <w:r w:rsidR="00E97104" w:rsidRPr="00DE34EE">
        <w:rPr>
          <w:rFonts w:ascii="Times New Roman" w:hAnsi="Times New Roman"/>
          <w:sz w:val="24"/>
          <w:szCs w:val="24"/>
        </w:rPr>
        <w:t xml:space="preserve"> на долгосрочной основе </w:t>
      </w:r>
      <w:r w:rsidR="00261E78" w:rsidRPr="00DE34EE">
        <w:rPr>
          <w:rFonts w:ascii="Times New Roman" w:hAnsi="Times New Roman"/>
          <w:sz w:val="24"/>
          <w:szCs w:val="24"/>
        </w:rPr>
        <w:t>субъектам малого и сре</w:t>
      </w:r>
      <w:r w:rsidR="00E97104" w:rsidRPr="00DE34EE">
        <w:rPr>
          <w:rFonts w:ascii="Times New Roman" w:hAnsi="Times New Roman"/>
          <w:sz w:val="24"/>
          <w:szCs w:val="24"/>
        </w:rPr>
        <w:t>дне</w:t>
      </w:r>
      <w:r w:rsidR="001726E5">
        <w:rPr>
          <w:rFonts w:ascii="Times New Roman" w:hAnsi="Times New Roman"/>
          <w:sz w:val="24"/>
          <w:szCs w:val="24"/>
        </w:rPr>
        <w:t xml:space="preserve">го предпринимательства и </w:t>
      </w:r>
      <w:r w:rsidR="00261E78" w:rsidRPr="00DE34EE">
        <w:rPr>
          <w:rFonts w:ascii="Times New Roman" w:hAnsi="Times New Roman"/>
          <w:sz w:val="24"/>
          <w:szCs w:val="24"/>
        </w:rPr>
        <w:t>организациям, образующим инфраструктуру поддержки субъектов малого и среднего предпринимательства</w:t>
      </w:r>
      <w:r w:rsidR="001726E5">
        <w:rPr>
          <w:rFonts w:ascii="Times New Roman" w:hAnsi="Times New Roman"/>
          <w:sz w:val="24"/>
          <w:szCs w:val="24"/>
        </w:rPr>
        <w:t>, а также порядка и условий предоставления такого имущества в аренду</w:t>
      </w:r>
      <w:r w:rsidR="00E97104" w:rsidRPr="00DE34EE">
        <w:rPr>
          <w:rFonts w:ascii="Times New Roman" w:hAnsi="Times New Roman"/>
          <w:sz w:val="24"/>
          <w:szCs w:val="24"/>
        </w:rPr>
        <w:t>»</w:t>
      </w:r>
      <w:r w:rsidR="00261E78" w:rsidRPr="00DE34EE">
        <w:rPr>
          <w:rFonts w:ascii="Times New Roman" w:hAnsi="Times New Roman"/>
          <w:sz w:val="24"/>
          <w:szCs w:val="24"/>
        </w:rPr>
        <w:t>, считать утратившим силу.</w:t>
      </w:r>
    </w:p>
    <w:p w:rsidR="00261E78" w:rsidRPr="00DE34EE" w:rsidRDefault="00261E78" w:rsidP="00261E7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DE34EE">
        <w:rPr>
          <w:rFonts w:ascii="Times New Roman" w:hAnsi="Times New Roman"/>
          <w:sz w:val="24"/>
          <w:szCs w:val="24"/>
        </w:rPr>
        <w:t xml:space="preserve">3. Опубликовать Порядок в информационно-телекоммуникационной сети Интернет: на официальном сайте </w:t>
      </w:r>
      <w:r w:rsidR="00567928">
        <w:rPr>
          <w:rFonts w:ascii="Times New Roman" w:hAnsi="Times New Roman"/>
          <w:sz w:val="24"/>
          <w:szCs w:val="24"/>
        </w:rPr>
        <w:t xml:space="preserve">Московской сельской </w:t>
      </w:r>
      <w:r w:rsidRPr="00DE34EE">
        <w:rPr>
          <w:rFonts w:ascii="Times New Roman" w:hAnsi="Times New Roman"/>
          <w:sz w:val="24"/>
          <w:szCs w:val="24"/>
        </w:rPr>
        <w:t>администрации Почепского района.</w:t>
      </w:r>
    </w:p>
    <w:p w:rsidR="00261E78" w:rsidRPr="00DE34EE" w:rsidRDefault="00261E78" w:rsidP="00261E7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E34EE">
        <w:rPr>
          <w:rFonts w:ascii="Times New Roman" w:hAnsi="Times New Roman"/>
          <w:sz w:val="24"/>
          <w:szCs w:val="24"/>
        </w:rPr>
        <w:tab/>
        <w:t>4. Решение вступает в силу с момента его опубликования.</w:t>
      </w:r>
    </w:p>
    <w:p w:rsidR="00261E78" w:rsidRPr="00DE34EE" w:rsidRDefault="00261E78" w:rsidP="00261E78">
      <w:pPr>
        <w:pStyle w:val="a3"/>
        <w:rPr>
          <w:rFonts w:ascii="Times New Roman" w:hAnsi="Times New Roman"/>
          <w:sz w:val="24"/>
          <w:szCs w:val="24"/>
        </w:rPr>
      </w:pPr>
    </w:p>
    <w:p w:rsidR="00261E78" w:rsidRPr="00DE34EE" w:rsidRDefault="00261E78" w:rsidP="00261E78">
      <w:pPr>
        <w:pStyle w:val="a3"/>
        <w:rPr>
          <w:rFonts w:ascii="Times New Roman" w:hAnsi="Times New Roman"/>
          <w:sz w:val="24"/>
          <w:szCs w:val="24"/>
        </w:rPr>
      </w:pPr>
    </w:p>
    <w:p w:rsidR="00005484" w:rsidRPr="00DE34EE" w:rsidRDefault="00005484" w:rsidP="00005484">
      <w:pPr>
        <w:pStyle w:val="a3"/>
        <w:rPr>
          <w:rFonts w:ascii="Times New Roman" w:hAnsi="Times New Roman"/>
          <w:sz w:val="24"/>
          <w:szCs w:val="24"/>
        </w:rPr>
      </w:pPr>
    </w:p>
    <w:p w:rsidR="00005484" w:rsidRDefault="00567928" w:rsidP="000054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                                            С.В.Радьков</w:t>
      </w:r>
    </w:p>
    <w:p w:rsidR="00356BE7" w:rsidRPr="00DE34EE" w:rsidRDefault="00005484" w:rsidP="00D11B5D">
      <w:pPr>
        <w:pStyle w:val="a4"/>
        <w:tabs>
          <w:tab w:val="left" w:pos="6690"/>
        </w:tabs>
        <w:jc w:val="right"/>
        <w:rPr>
          <w:szCs w:val="24"/>
        </w:rPr>
      </w:pPr>
      <w:r w:rsidRPr="00DE34EE">
        <w:rPr>
          <w:szCs w:val="24"/>
        </w:rPr>
        <w:br w:type="page"/>
      </w:r>
      <w:r w:rsidR="00D11B5D">
        <w:rPr>
          <w:szCs w:val="24"/>
        </w:rPr>
        <w:lastRenderedPageBreak/>
        <w:t xml:space="preserve">                                                           Приложение к постановлению</w:t>
      </w:r>
      <w:r w:rsidR="00356BE7" w:rsidRPr="00DE34EE">
        <w:rPr>
          <w:szCs w:val="24"/>
        </w:rPr>
        <w:tab/>
      </w:r>
      <w:r w:rsidR="00356BE7" w:rsidRPr="00DE34EE">
        <w:rPr>
          <w:szCs w:val="24"/>
        </w:rPr>
        <w:br/>
        <w:t xml:space="preserve">                                                                      </w:t>
      </w:r>
      <w:r w:rsidR="00D11B5D">
        <w:rPr>
          <w:szCs w:val="24"/>
        </w:rPr>
        <w:t xml:space="preserve">            Московской сельской</w:t>
      </w:r>
      <w:r w:rsidR="00D11B5D">
        <w:rPr>
          <w:szCs w:val="24"/>
        </w:rPr>
        <w:br/>
        <w:t>администрации</w:t>
      </w:r>
      <w:r w:rsidR="00356BE7" w:rsidRPr="00DE34EE">
        <w:rPr>
          <w:szCs w:val="24"/>
        </w:rPr>
        <w:t xml:space="preserve"> </w:t>
      </w:r>
      <w:r w:rsidR="00356BE7" w:rsidRPr="00DE34EE">
        <w:rPr>
          <w:szCs w:val="24"/>
        </w:rPr>
        <w:br/>
        <w:t>от</w:t>
      </w:r>
      <w:r w:rsidR="00D11B5D">
        <w:rPr>
          <w:szCs w:val="24"/>
        </w:rPr>
        <w:t xml:space="preserve"> 19</w:t>
      </w:r>
      <w:r w:rsidR="00356BE7" w:rsidRPr="00DE34EE">
        <w:rPr>
          <w:szCs w:val="24"/>
        </w:rPr>
        <w:t xml:space="preserve">.11.2020 г. № </w:t>
      </w:r>
      <w:r w:rsidR="00D11B5D">
        <w:rPr>
          <w:szCs w:val="24"/>
        </w:rPr>
        <w:t>34</w:t>
      </w:r>
    </w:p>
    <w:p w:rsidR="00356BE7" w:rsidRDefault="00356BE7" w:rsidP="00D11B5D">
      <w:pPr>
        <w:pStyle w:val="a4"/>
        <w:jc w:val="right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>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2D06F0">
        <w:rPr>
          <w:rFonts w:ascii="Times New Roman" w:hAnsi="Times New Roman"/>
          <w:sz w:val="28"/>
          <w:szCs w:val="28"/>
        </w:rPr>
        <w:t>тва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F41D5"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621E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</w:t>
      </w:r>
      <w:r w:rsidR="003327B6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8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 07.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от 08.06.2020 № 169-ФЗ «О внесении изменений в Федеральный закон </w:t>
      </w:r>
      <w:r w:rsidRPr="00E8621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Федерации»и определяет механизм формирования, ведения</w:t>
      </w:r>
      <w:r>
        <w:rPr>
          <w:rFonts w:ascii="Times New Roman" w:hAnsi="Times New Roman"/>
          <w:sz w:val="28"/>
          <w:szCs w:val="28"/>
        </w:rPr>
        <w:t>, дополнения</w:t>
      </w:r>
      <w:r w:rsidRPr="00E8621E">
        <w:rPr>
          <w:rFonts w:ascii="Times New Roman" w:hAnsi="Times New Roman"/>
          <w:sz w:val="28"/>
          <w:szCs w:val="28"/>
        </w:rPr>
        <w:t xml:space="preserve"> и опубликования перечня имущества, находящегося в муниципальной собственности</w:t>
      </w:r>
      <w:r w:rsidR="004F41D5">
        <w:rPr>
          <w:rFonts w:ascii="Times New Roman" w:hAnsi="Times New Roman"/>
          <w:sz w:val="28"/>
          <w:szCs w:val="28"/>
        </w:rPr>
        <w:t xml:space="preserve"> Московского сельского поселения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 (далее – </w:t>
      </w:r>
      <w:r w:rsidR="004F41D5">
        <w:rPr>
          <w:rFonts w:ascii="Times New Roman" w:hAnsi="Times New Roman"/>
          <w:sz w:val="28"/>
          <w:szCs w:val="28"/>
        </w:rPr>
        <w:t>Московское сельское поселение</w:t>
      </w:r>
      <w:r>
        <w:rPr>
          <w:rFonts w:ascii="Times New Roman" w:hAnsi="Times New Roman"/>
          <w:sz w:val="28"/>
          <w:szCs w:val="28"/>
        </w:rPr>
        <w:t>)предназначенного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 w:rsidR="004F41D5">
        <w:rPr>
          <w:rFonts w:ascii="Times New Roman" w:hAnsi="Times New Roman"/>
          <w:sz w:val="28"/>
          <w:szCs w:val="28"/>
        </w:rPr>
        <w:t xml:space="preserve"> </w:t>
      </w:r>
      <w:r w:rsidR="003327B6">
        <w:rPr>
          <w:rFonts w:ascii="Times New Roman" w:hAnsi="Times New Roman"/>
          <w:sz w:val="28"/>
          <w:szCs w:val="28"/>
        </w:rPr>
        <w:t xml:space="preserve">и среднего предпринимательства,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доход», </w:t>
      </w:r>
      <w:r>
        <w:rPr>
          <w:rFonts w:ascii="Times New Roman" w:hAnsi="Times New Roman"/>
          <w:sz w:val="28"/>
          <w:szCs w:val="28"/>
        </w:rPr>
        <w:t>(далее - п</w:t>
      </w:r>
      <w:r w:rsidRPr="00E8621E">
        <w:rPr>
          <w:rFonts w:ascii="Times New Roman" w:hAnsi="Times New Roman"/>
          <w:sz w:val="28"/>
          <w:szCs w:val="28"/>
        </w:rPr>
        <w:t>еречень).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Pr="00E8621E">
        <w:rPr>
          <w:sz w:val="28"/>
          <w:szCs w:val="28"/>
        </w:rPr>
        <w:t xml:space="preserve">еречень включаются объекты недвижимого и движимого имущества, находящиеся в муниципальной собственности </w:t>
      </w:r>
      <w:r w:rsidR="004F41D5">
        <w:rPr>
          <w:sz w:val="28"/>
          <w:szCs w:val="28"/>
        </w:rPr>
        <w:t>Московского сельского поселения</w:t>
      </w:r>
      <w:r w:rsidRPr="00E8621E">
        <w:rPr>
          <w:sz w:val="28"/>
          <w:szCs w:val="28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Порядок формирования, </w:t>
      </w:r>
      <w:r w:rsidRPr="00E8621E">
        <w:rPr>
          <w:sz w:val="28"/>
          <w:szCs w:val="28"/>
        </w:rPr>
        <w:t>ведения</w:t>
      </w:r>
      <w:r>
        <w:rPr>
          <w:sz w:val="28"/>
          <w:szCs w:val="28"/>
        </w:rPr>
        <w:t>, дополнения</w:t>
      </w:r>
      <w:r w:rsidRPr="00E8621E">
        <w:rPr>
          <w:sz w:val="28"/>
          <w:szCs w:val="28"/>
        </w:rPr>
        <w:t xml:space="preserve">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осуществляется </w:t>
      </w:r>
      <w:r w:rsidR="004F41D5">
        <w:rPr>
          <w:sz w:val="28"/>
          <w:szCs w:val="28"/>
        </w:rPr>
        <w:t>администрацией Московского сельского поселения</w:t>
      </w:r>
      <w:r w:rsidRPr="00E8621E">
        <w:rPr>
          <w:sz w:val="28"/>
          <w:szCs w:val="28"/>
        </w:rPr>
        <w:t xml:space="preserve"> (далее - уполномоченный орган).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2.3. Имущество, включаемое в перечень, должно быть пригодно для </w:t>
      </w:r>
      <w:r w:rsidRPr="00E8621E">
        <w:rPr>
          <w:sz w:val="28"/>
          <w:szCs w:val="28"/>
        </w:rPr>
        <w:lastRenderedPageBreak/>
        <w:t>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</w:t>
      </w:r>
      <w:r>
        <w:rPr>
          <w:sz w:val="28"/>
          <w:szCs w:val="28"/>
        </w:rPr>
        <w:t xml:space="preserve">, </w:t>
      </w:r>
      <w:r w:rsidR="003327B6">
        <w:rPr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E8621E">
        <w:rPr>
          <w:sz w:val="28"/>
          <w:szCs w:val="28"/>
        </w:rPr>
        <w:t xml:space="preserve">.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</w:t>
      </w:r>
      <w:r>
        <w:rPr>
          <w:sz w:val="28"/>
          <w:szCs w:val="28"/>
        </w:rPr>
        <w:t xml:space="preserve"> должно соответствовать следующим критериям: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2.4.3. Имущество не является объектом религиозного назначения;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Имущество не </w:t>
      </w:r>
      <w:r w:rsidRPr="00E8621E">
        <w:rPr>
          <w:sz w:val="28"/>
          <w:szCs w:val="28"/>
        </w:rPr>
        <w:t>включено в прогнозный план приватизации на следующий год или плановый период</w:t>
      </w:r>
      <w:r>
        <w:rPr>
          <w:sz w:val="28"/>
          <w:szCs w:val="28"/>
        </w:rPr>
        <w:t>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2.4.6. Имущество не признано аварийным и подлежащим сносу;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2.4.7.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2.4.8. Земельный участок не предназначен для ведения личного подсобного хозяйств, огородничества, садоводства, индивидуального жилищного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2.4.9. Земельный участок не относится к земельным участкам общего пользования и не расположен в границах земель общего пользования.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2.4.10. В отношении имущества, закрепленного на праве хозяйственного ведения за муниципальным предприятием, на праве оперативного управления за муниципальным учреждением, предоставлено предложение балансодержателя о включении имущества в Перечень, а также письменное согласие уполномоченного органа.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 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№ 209-ФЗ «О развитии малого и среднего предпринимательства в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возникновения либо прекращения обременения. </w:t>
      </w:r>
    </w:p>
    <w:p w:rsidR="00C2359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Уполномоченный орган вправе исключить имущество из перечня</w:t>
      </w:r>
      <w:r w:rsidR="00C2359E">
        <w:rPr>
          <w:sz w:val="28"/>
          <w:szCs w:val="28"/>
        </w:rPr>
        <w:t xml:space="preserve"> в </w:t>
      </w:r>
      <w:r w:rsidR="00C2359E">
        <w:rPr>
          <w:sz w:val="28"/>
          <w:szCs w:val="28"/>
        </w:rPr>
        <w:lastRenderedPageBreak/>
        <w:t>следующих случаях:</w:t>
      </w:r>
    </w:p>
    <w:p w:rsidR="00356BE7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2.7.1. Е</w:t>
      </w:r>
      <w:r w:rsidR="00356BE7">
        <w:rPr>
          <w:sz w:val="28"/>
          <w:szCs w:val="28"/>
        </w:rPr>
        <w:t xml:space="preserve">сли в течение двух лет со дня включения имущества в перечень не поступало: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C2359E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="006F2A66">
        <w:rPr>
          <w:sz w:val="28"/>
          <w:szCs w:val="28"/>
        </w:rPr>
        <w:t>.</w:t>
      </w:r>
      <w:r>
        <w:rPr>
          <w:sz w:val="28"/>
          <w:szCs w:val="28"/>
        </w:rPr>
        <w:t xml:space="preserve">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8168B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2.7.3. Характеристики имущества изменились таким образом, что оно стало непригодным для использования по целевому назначению;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2.7.4</w:t>
      </w:r>
      <w:r w:rsidR="00C2359E">
        <w:rPr>
          <w:sz w:val="28"/>
          <w:szCs w:val="28"/>
        </w:rPr>
        <w:t>. Прекращение существования имущества в результате его гибели или уничтожения;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2.7.5</w:t>
      </w:r>
      <w:r w:rsidR="00C2359E">
        <w:rPr>
          <w:sz w:val="28"/>
          <w:szCs w:val="28"/>
        </w:rPr>
        <w:t>.</w:t>
      </w:r>
      <w:r w:rsidR="006F2A66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муниципальной</w:t>
      </w:r>
      <w:r w:rsidR="006F2A66">
        <w:rPr>
          <w:sz w:val="28"/>
          <w:szCs w:val="28"/>
        </w:rPr>
        <w:t xml:space="preserve"> собственности на имущество прекращено по решению суда или в ином установленном законом порядке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8621E">
        <w:rPr>
          <w:sz w:val="28"/>
          <w:szCs w:val="28"/>
        </w:rPr>
        <w:t xml:space="preserve">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" w:history="1">
        <w:r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 w:rsidR="00DF0EAB">
        <w:rPr>
          <w:sz w:val="28"/>
          <w:szCs w:val="28"/>
        </w:rPr>
        <w:t>Московского сельского поселения</w:t>
      </w:r>
      <w:r w:rsidRPr="00E8621E">
        <w:rPr>
          <w:sz w:val="28"/>
          <w:szCs w:val="28"/>
        </w:rPr>
        <w:t xml:space="preserve">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Default="00356BE7" w:rsidP="00356BE7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  <w:sectPr w:rsidR="00356BE7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/>
      </w:tblPr>
      <w:tblGrid>
        <w:gridCol w:w="4755"/>
      </w:tblGrid>
      <w:tr w:rsidR="00356BE7" w:rsidRPr="0038267F" w:rsidTr="00182027">
        <w:tc>
          <w:tcPr>
            <w:tcW w:w="5670" w:type="dxa"/>
          </w:tcPr>
          <w:p w:rsidR="00356BE7" w:rsidRDefault="00356BE7" w:rsidP="002D06F0">
            <w:pPr>
              <w:pStyle w:val="ConsPlusNormal"/>
              <w:jc w:val="both"/>
              <w:outlineLvl w:val="1"/>
            </w:pPr>
            <w:r>
              <w:lastRenderedPageBreak/>
              <w:t>Приложение</w:t>
            </w:r>
            <w:r>
              <w:br/>
              <w:t>к Порядку формирования, вед</w:t>
            </w:r>
            <w:r w:rsidR="00D2133A">
              <w:t xml:space="preserve">ения, дополнения и </w:t>
            </w:r>
            <w:r>
              <w:t>опубликования перечня имущес</w:t>
            </w:r>
            <w:r w:rsidR="002D06F0">
              <w:t>тва муниципальной собственности</w:t>
            </w:r>
            <w:r w:rsidR="00DF0EAB">
              <w:t xml:space="preserve"> Московского сельского поселения</w:t>
            </w:r>
            <w:r w:rsidR="002D06F0">
              <w:t xml:space="preserve"> </w:t>
            </w:r>
            <w:r>
              <w:t>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      и организациям, образующим инфраструктуру поддержки субъектов малого и среднего предприним</w:t>
            </w:r>
            <w:r w:rsidR="00CF1627">
              <w:t xml:space="preserve">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</w:p>
        </w:tc>
      </w:tr>
    </w:tbl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ind w:firstLine="540"/>
        <w:jc w:val="both"/>
      </w:pPr>
    </w:p>
    <w:p w:rsidR="00356BE7" w:rsidRPr="00715D1B" w:rsidRDefault="00356BE7" w:rsidP="00356BE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ПЕРЕЧНЯ</w:t>
      </w:r>
    </w:p>
    <w:p w:rsidR="00356BE7" w:rsidRPr="00B33CB7" w:rsidRDefault="00356BE7" w:rsidP="00356BE7">
      <w:pPr>
        <w:pStyle w:val="ConsPlusTitle"/>
        <w:jc w:val="center"/>
        <w:rPr>
          <w:sz w:val="28"/>
        </w:rPr>
      </w:pPr>
      <w:r>
        <w:rPr>
          <w:sz w:val="28"/>
          <w:szCs w:val="28"/>
        </w:rPr>
        <w:t xml:space="preserve"> ИМУЩЕС</w:t>
      </w:r>
      <w:r w:rsidR="00CF1627">
        <w:rPr>
          <w:sz w:val="28"/>
          <w:szCs w:val="28"/>
        </w:rPr>
        <w:t>ТВА МУНИЦИПАЛЬНОЙ СОБСТВЕННОСТИ</w:t>
      </w:r>
      <w:r w:rsidR="004F511D">
        <w:rPr>
          <w:sz w:val="28"/>
          <w:szCs w:val="28"/>
        </w:rPr>
        <w:t xml:space="preserve"> МОСКОВСКОГО СЕЛЬСКОГО ПОСЕЛЕНИЯ</w:t>
      </w:r>
      <w:r>
        <w:rPr>
          <w:sz w:val="28"/>
          <w:szCs w:val="28"/>
        </w:rPr>
        <w:t xml:space="preserve"> ПОЧЕПСКОГО МУНИЦИПАЛЬНОГО РАЙОНА БРЯНСКОЙ ОБЛАСТИ,</w:t>
      </w:r>
      <w:r>
        <w:br/>
      </w:r>
      <w:r w:rsidRPr="00B33CB7">
        <w:rPr>
          <w:sz w:val="28"/>
        </w:rPr>
        <w:t xml:space="preserve">ПРЕДНАЗНАЧЕННОГО ДЛЯ ПРЕДОСТАВЛЕНИЯ ВО ВЛАДЕНИЕ И (ИЛИ) </w:t>
      </w:r>
      <w:r>
        <w:rPr>
          <w:sz w:val="28"/>
        </w:rPr>
        <w:t xml:space="preserve">В </w:t>
      </w:r>
      <w:r w:rsidRPr="00B33CB7">
        <w:rPr>
          <w:sz w:val="28"/>
        </w:rPr>
        <w:t>ПОЛЬЗОВАНИЕ СУБЪЕКТАМ МАЛОГО И СРЕДНЕГО ПРЕДПРИНИМАТЕЛЬСТВА И ОРГАНИЗАЦИЯМ, ОБРАЗУЮЩИМ ИНФР</w:t>
      </w:r>
      <w:r>
        <w:rPr>
          <w:sz w:val="28"/>
        </w:rPr>
        <w:t xml:space="preserve">АСТРУКТУРУ ПОДДЕРЖКИ СУБЪЕКТОВ </w:t>
      </w:r>
      <w:r w:rsidRPr="00B33CB7">
        <w:rPr>
          <w:sz w:val="28"/>
        </w:rPr>
        <w:t>МАЛОГО И СРЕДНЕГО ПРЕДПРИНИМАТЕЛЬСТВА</w:t>
      </w:r>
      <w:r w:rsidR="00CF1627">
        <w:rPr>
          <w:sz w:val="28"/>
        </w:rPr>
        <w:t>, 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356BE7" w:rsidRDefault="00356BE7" w:rsidP="00356BE7">
      <w:pPr>
        <w:pStyle w:val="ConsPlusTitle"/>
        <w:jc w:val="center"/>
        <w:rPr>
          <w:sz w:val="28"/>
        </w:rPr>
      </w:pPr>
    </w:p>
    <w:p w:rsidR="00356BE7" w:rsidRPr="00B33CB7" w:rsidRDefault="00356BE7" w:rsidP="00356BE7">
      <w:pPr>
        <w:pStyle w:val="ConsPlusTitle"/>
        <w:jc w:val="center"/>
        <w:rPr>
          <w:sz w:val="28"/>
        </w:rPr>
      </w:pPr>
    </w:p>
    <w:p w:rsidR="00356BE7" w:rsidRPr="00B33CB7" w:rsidRDefault="00356BE7" w:rsidP="00356BE7">
      <w:pPr>
        <w:pStyle w:val="ConsPlusNormal"/>
        <w:jc w:val="both"/>
        <w:rPr>
          <w:sz w:val="28"/>
        </w:rPr>
      </w:pPr>
      <w:r w:rsidRPr="00B33CB7">
        <w:rPr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356BE7" w:rsidRPr="009B4250" w:rsidTr="00182027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Адрес (местоположение) объекта </w:t>
            </w:r>
            <w:hyperlink w:anchor="P205" w:history="1">
              <w:r w:rsidRPr="0071752D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объекта недвижимости;</w:t>
            </w:r>
          </w:p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тип движимого имущества </w:t>
            </w:r>
            <w:hyperlink w:anchor="P209" w:history="1">
              <w:r w:rsidRPr="0071752D">
                <w:rPr>
                  <w:rFonts w:eastAsia="Calibri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недвижимом имуществе </w:t>
            </w:r>
          </w:p>
        </w:tc>
      </w:tr>
      <w:tr w:rsidR="00356BE7" w:rsidRPr="009B4250" w:rsidTr="00182027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94" w:type="dxa"/>
            <w:gridSpan w:val="3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356BE7" w:rsidRPr="009B4250" w:rsidTr="00182027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356BE7" w:rsidRPr="009B4250" w:rsidTr="00182027">
        <w:tc>
          <w:tcPr>
            <w:tcW w:w="56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7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rPr>
          <w:rFonts w:cs="Calibri"/>
          <w:szCs w:val="20"/>
        </w:rPr>
      </w:pPr>
      <w:r>
        <w:br w:type="page"/>
      </w: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356BE7" w:rsidRPr="008468DB" w:rsidTr="00182027">
        <w:trPr>
          <w:trHeight w:val="276"/>
        </w:trPr>
        <w:tc>
          <w:tcPr>
            <w:tcW w:w="8595" w:type="dxa"/>
            <w:gridSpan w:val="5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356BE7" w:rsidRPr="008468DB" w:rsidTr="00182027">
        <w:trPr>
          <w:trHeight w:val="276"/>
        </w:trPr>
        <w:tc>
          <w:tcPr>
            <w:tcW w:w="3114" w:type="dxa"/>
            <w:gridSpan w:val="2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356BE7" w:rsidRPr="008468DB" w:rsidTr="00182027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Состав (принадлежнос-ти) имущества </w:t>
            </w:r>
          </w:p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&lt;9&gt;</w:t>
            </w:r>
          </w:p>
        </w:tc>
      </w:tr>
      <w:tr w:rsidR="00356BE7" w:rsidRPr="008468DB" w:rsidTr="00182027">
        <w:tc>
          <w:tcPr>
            <w:tcW w:w="9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79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16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356BE7" w:rsidTr="00182027">
        <w:tc>
          <w:tcPr>
            <w:tcW w:w="14312" w:type="dxa"/>
            <w:gridSpan w:val="7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356BE7" w:rsidTr="00182027">
        <w:tc>
          <w:tcPr>
            <w:tcW w:w="5501" w:type="dxa"/>
            <w:gridSpan w:val="2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Адрес электронной почты &lt;15&gt;</w:t>
            </w:r>
          </w:p>
        </w:tc>
      </w:tr>
      <w:tr w:rsidR="00356BE7" w:rsidTr="00182027">
        <w:tc>
          <w:tcPr>
            <w:tcW w:w="27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356BE7" w:rsidTr="00182027">
        <w:tc>
          <w:tcPr>
            <w:tcW w:w="27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71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72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341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9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97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23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sectPr w:rsidR="00356BE7" w:rsidSect="00B462C3">
          <w:headerReference w:type="default" r:id="rId10"/>
          <w:headerReference w:type="first" r:id="rId11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ind w:firstLine="540"/>
        <w:jc w:val="both"/>
      </w:pPr>
      <w:r>
        <w:t>--------------------------------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356BE7" w:rsidRPr="008C253F" w:rsidRDefault="00356BE7" w:rsidP="004F511D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 xml:space="preserve"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</w:t>
      </w:r>
      <w:r w:rsidRPr="008C253F">
        <w:rPr>
          <w:sz w:val="28"/>
        </w:rPr>
        <w:lastRenderedPageBreak/>
        <w:t>не заполняется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&lt;10&gt; Указывается «Да» или «Нет»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 xml:space="preserve"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</w:t>
      </w:r>
      <w:bookmarkStart w:id="0" w:name="_GoBack"/>
      <w:bookmarkEnd w:id="0"/>
      <w:r w:rsidRPr="008C253F">
        <w:rPr>
          <w:sz w:val="28"/>
        </w:rPr>
        <w:t>среднего предпринимательства по вопросам заключения договора аренды имущества</w:t>
      </w:r>
      <w:r>
        <w:rPr>
          <w:sz w:val="28"/>
        </w:rPr>
        <w:t>.</w:t>
      </w: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180A8A" w:rsidRPr="00E8621E" w:rsidRDefault="00356BE7" w:rsidP="00005484">
      <w:pPr>
        <w:pStyle w:val="a4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80A8A" w:rsidRPr="00E8621E" w:rsidSect="002C482D">
      <w:pgSz w:w="11906" w:h="16838" w:code="9"/>
      <w:pgMar w:top="709" w:right="707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5C" w:rsidRDefault="0086325C">
      <w:pPr>
        <w:spacing w:after="0" w:line="240" w:lineRule="auto"/>
      </w:pPr>
      <w:r>
        <w:separator/>
      </w:r>
    </w:p>
  </w:endnote>
  <w:endnote w:type="continuationSeparator" w:id="1">
    <w:p w:rsidR="0086325C" w:rsidRDefault="0086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5C" w:rsidRDefault="0086325C">
      <w:pPr>
        <w:spacing w:after="0" w:line="240" w:lineRule="auto"/>
      </w:pPr>
      <w:r>
        <w:separator/>
      </w:r>
    </w:p>
  </w:footnote>
  <w:footnote w:type="continuationSeparator" w:id="1">
    <w:p w:rsidR="0086325C" w:rsidRDefault="0086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65" w:rsidRDefault="00B438F2">
    <w:pPr>
      <w:pStyle w:val="a9"/>
      <w:jc w:val="center"/>
    </w:pPr>
    <w:r>
      <w:fldChar w:fldCharType="begin"/>
    </w:r>
    <w:r w:rsidR="00A95ABC">
      <w:instrText>PAGE   \* MERGEFORMAT</w:instrText>
    </w:r>
    <w:r>
      <w:fldChar w:fldCharType="separate"/>
    </w:r>
    <w:r w:rsidR="004F511D">
      <w:rPr>
        <w:noProof/>
      </w:rPr>
      <w:t>6</w:t>
    </w:r>
    <w:r>
      <w:fldChar w:fldCharType="end"/>
    </w:r>
  </w:p>
  <w:p w:rsidR="00D73D65" w:rsidRDefault="0086325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65" w:rsidRDefault="0086325C">
    <w:pPr>
      <w:pStyle w:val="a9"/>
      <w:jc w:val="center"/>
    </w:pPr>
  </w:p>
  <w:p w:rsidR="00D73D65" w:rsidRDefault="0086325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62"/>
    <w:rsid w:val="00005484"/>
    <w:rsid w:val="00017079"/>
    <w:rsid w:val="00017B72"/>
    <w:rsid w:val="000634DA"/>
    <w:rsid w:val="00064223"/>
    <w:rsid w:val="00101041"/>
    <w:rsid w:val="001726E5"/>
    <w:rsid w:val="00180A8A"/>
    <w:rsid w:val="001E406C"/>
    <w:rsid w:val="001E4FFA"/>
    <w:rsid w:val="001E7EC2"/>
    <w:rsid w:val="00230E14"/>
    <w:rsid w:val="00261E78"/>
    <w:rsid w:val="002C482D"/>
    <w:rsid w:val="002D06F0"/>
    <w:rsid w:val="002F283F"/>
    <w:rsid w:val="00302608"/>
    <w:rsid w:val="003327B6"/>
    <w:rsid w:val="00356BE7"/>
    <w:rsid w:val="00377B29"/>
    <w:rsid w:val="0038267F"/>
    <w:rsid w:val="003E2B6F"/>
    <w:rsid w:val="00414DEA"/>
    <w:rsid w:val="004E6B6A"/>
    <w:rsid w:val="004F23F4"/>
    <w:rsid w:val="004F41D5"/>
    <w:rsid w:val="004F511D"/>
    <w:rsid w:val="005116F5"/>
    <w:rsid w:val="00567928"/>
    <w:rsid w:val="00592DA5"/>
    <w:rsid w:val="005E1B0B"/>
    <w:rsid w:val="00630C62"/>
    <w:rsid w:val="0063584B"/>
    <w:rsid w:val="006D682F"/>
    <w:rsid w:val="006D7CF3"/>
    <w:rsid w:val="006F2A66"/>
    <w:rsid w:val="00701BEF"/>
    <w:rsid w:val="007C4AE3"/>
    <w:rsid w:val="007C7853"/>
    <w:rsid w:val="008106EA"/>
    <w:rsid w:val="00851A3C"/>
    <w:rsid w:val="0086325C"/>
    <w:rsid w:val="0087599D"/>
    <w:rsid w:val="008D2A53"/>
    <w:rsid w:val="008F7B37"/>
    <w:rsid w:val="009344A1"/>
    <w:rsid w:val="0098168B"/>
    <w:rsid w:val="009D5B42"/>
    <w:rsid w:val="00A518EC"/>
    <w:rsid w:val="00A53E5E"/>
    <w:rsid w:val="00A56266"/>
    <w:rsid w:val="00A95ABC"/>
    <w:rsid w:val="00A9752A"/>
    <w:rsid w:val="00AB5E30"/>
    <w:rsid w:val="00AE54FC"/>
    <w:rsid w:val="00B438F2"/>
    <w:rsid w:val="00B82420"/>
    <w:rsid w:val="00BD5963"/>
    <w:rsid w:val="00C136B4"/>
    <w:rsid w:val="00C2359E"/>
    <w:rsid w:val="00C40A3C"/>
    <w:rsid w:val="00C40B30"/>
    <w:rsid w:val="00C83161"/>
    <w:rsid w:val="00C8325D"/>
    <w:rsid w:val="00CF1627"/>
    <w:rsid w:val="00D11B5D"/>
    <w:rsid w:val="00D2133A"/>
    <w:rsid w:val="00D62C9A"/>
    <w:rsid w:val="00DB6482"/>
    <w:rsid w:val="00DE34EE"/>
    <w:rsid w:val="00DF0EAB"/>
    <w:rsid w:val="00E16C0A"/>
    <w:rsid w:val="00E62031"/>
    <w:rsid w:val="00E8621E"/>
    <w:rsid w:val="00E97104"/>
    <w:rsid w:val="00EE15C2"/>
    <w:rsid w:val="00F36275"/>
    <w:rsid w:val="00FA1313"/>
    <w:rsid w:val="00FA3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61E78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56BE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link w:val="a9"/>
    <w:uiPriority w:val="99"/>
    <w:rsid w:val="00356BE7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DC952C11DAE0CF9948273fCq7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96715CBED8CA405A377E85623FDF76E7FCDC952C11DAE0CF9948273fCq7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96715CBED8CA405A377E85623FDF76E7CC4C15DC31DAE0CF9948273C768BE79B7315DC52C2C8Df4qE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44</cp:revision>
  <cp:lastPrinted>2020-11-19T11:52:00Z</cp:lastPrinted>
  <dcterms:created xsi:type="dcterms:W3CDTF">2018-07-17T09:12:00Z</dcterms:created>
  <dcterms:modified xsi:type="dcterms:W3CDTF">2020-11-19T11:58:00Z</dcterms:modified>
</cp:coreProperties>
</file>